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物业服务收费公示模板</w:t>
      </w:r>
    </w:p>
    <w:tbl>
      <w:tblPr>
        <w:tblStyle w:val="4"/>
        <w:tblW w:w="10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713"/>
        <w:gridCol w:w="1908"/>
        <w:gridCol w:w="3212"/>
        <w:gridCol w:w="1435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2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物业服务收费公示（模板）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收费类别</w:t>
            </w:r>
          </w:p>
        </w:tc>
        <w:tc>
          <w:tcPr>
            <w:tcW w:w="1713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收费项目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收费标准</w:t>
            </w:r>
          </w:p>
        </w:tc>
        <w:tc>
          <w:tcPr>
            <w:tcW w:w="1435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收费依据</w:t>
            </w:r>
          </w:p>
        </w:tc>
        <w:tc>
          <w:tcPr>
            <w:tcW w:w="84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基础物业服务费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多层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别墅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非住宅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泊车服务</w:t>
            </w: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地上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地下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60元</w:t>
            </w: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式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车辆停放费和车位租金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车位租金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地面租金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机动车临停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地上停车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元/每小时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元/每小时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非机动车收费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摩托车收费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电动车充电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元/小时</w:t>
            </w: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双方约定</w:t>
            </w: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其他服务收费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代收水费</w:t>
            </w:r>
          </w:p>
        </w:tc>
        <w:tc>
          <w:tcPr>
            <w:tcW w:w="464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按照专营公司国家核定标准代收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代收电费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代收供暖费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（其他）代收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分摊（其他）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装修垃圾清运费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元/㎡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装饰装修管理服务协议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装修（其他费用）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工本费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门禁卡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出入证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（其他）工本费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sz w:val="24"/>
          <w:szCs w:val="24"/>
        </w:rPr>
        <w:sectPr>
          <w:pgSz w:w="11906" w:h="16838"/>
          <w:pgMar w:top="850" w:right="850" w:bottom="850" w:left="850" w:header="1418" w:footer="1134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>注：某项业务不在物业合同约定范围内或缺少某项合同约定的业务，应按实际收费业务进行增减。</w:t>
      </w:r>
    </w:p>
    <w:p>
      <w:pPr>
        <w:jc w:val="left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pStyle w:val="8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物业有偿服务收费公示模板</w:t>
      </w:r>
    </w:p>
    <w:p>
      <w:pPr>
        <w:pStyle w:val="8"/>
        <w:jc w:val="right"/>
        <w:rPr>
          <w:rFonts w:hint="eastAsia" w:ascii="黑体" w:hAnsi="黑体" w:eastAsia="黑体" w:cs="黑体"/>
          <w:color w:val="000000"/>
          <w:szCs w:val="2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717"/>
        <w:gridCol w:w="3016"/>
        <w:gridCol w:w="190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类别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3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维修项目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（个/盏/次）</w:t>
            </w:r>
          </w:p>
        </w:tc>
        <w:tc>
          <w:tcPr>
            <w:tcW w:w="23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人工费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（单位:元）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器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如：更换普通白炽灯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盏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件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到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注1：业务项目仅作举例说明，具体设置内容依照小区有偿服务实际提供内容进行人工费用公示。</w:t>
      </w:r>
    </w:p>
    <w:p>
      <w:pPr>
        <w:spacing w:line="360" w:lineRule="auto"/>
        <w:jc w:val="left"/>
        <w:rPr>
          <w:rFonts w:ascii="宋体" w:hAnsi="宋体" w:cs="宋体"/>
          <w:sz w:val="18"/>
          <w:szCs w:val="18"/>
        </w:rPr>
        <w:sectPr>
          <w:pgSz w:w="11906" w:h="16838"/>
          <w:pgMar w:top="567" w:right="1134" w:bottom="1134" w:left="1418" w:header="1418" w:footer="1134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>注2：如业主需求超出物业提供有偿服务公示范畴，物业服务企业收费信息公示按与业主约定达成一致内容开展。</w:t>
      </w:r>
    </w:p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物业服务费用收支情况公示模板（酬金制）</w:t>
      </w:r>
    </w:p>
    <w:p>
      <w:pPr>
        <w:pStyle w:val="8"/>
        <w:jc w:val="right"/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单位：</w:t>
      </w:r>
    </w:p>
    <w:tbl>
      <w:tblPr>
        <w:tblStyle w:val="4"/>
        <w:tblW w:w="10843" w:type="dxa"/>
        <w:tblInd w:w="-7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7728"/>
        <w:gridCol w:w="1533"/>
        <w:gridCol w:w="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843" w:type="dxa"/>
            <w:gridSpan w:val="4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物业服务费用收支公示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本年发生金额</w:t>
            </w: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（一）物业服务费收入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1.本年度物业费收入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2.历史欠物业费收入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（二）物业服务费支出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1.管理服务人员的工资、社会保险和按规定提取的福利费等；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2.物业共用部位、共用设施设备的日常运行、维护费用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3.物业服务区域清洁卫生费用；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4.物业服务区域绿化养护费用；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5.物业服务区域秩序维护费用；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6.办公费；（1）节日装饰的费用。（2）行政办公支出，包括文具、办公用品等杂项以及公共关系费用；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7.固定资产折旧；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8.物业共用部位、共用设施设备及公众责任保险费用；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9.经业主同意的其它费用；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10.法定税费以及合理利润。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三、本年末收支余额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ind w:firstLine="560" w:firstLineChars="200"/>
        <w:jc w:val="left"/>
        <w:rPr>
          <w:rFonts w:ascii="宋体" w:hAnsi="宋体" w:cs="宋体"/>
          <w:sz w:val="28"/>
          <w:szCs w:val="28"/>
        </w:rPr>
        <w:sectPr>
          <w:pgSz w:w="11906" w:h="16838"/>
          <w:pgMar w:top="567" w:right="1134" w:bottom="1134" w:left="1418" w:header="1418" w:footer="1134" w:gutter="0"/>
          <w:cols w:space="720" w:num="1"/>
          <w:formProt w:val="0"/>
          <w:docGrid w:type="lines" w:linePitch="312" w:charSpace="0"/>
        </w:sectPr>
      </w:pPr>
    </w:p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 xml:space="preserve"> 物业服务费用收支情况公示模板（包干制）</w:t>
      </w:r>
    </w:p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一、物业服务费收取情况</w:t>
      </w:r>
    </w:p>
    <w:tbl>
      <w:tblPr>
        <w:tblStyle w:val="3"/>
        <w:tblW w:w="9409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895"/>
        <w:gridCol w:w="945"/>
        <w:gridCol w:w="1732"/>
        <w:gridCol w:w="1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89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数量</w:t>
            </w:r>
            <w:r>
              <w:rPr>
                <w:rFonts w:hint="eastAsia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（㎡）</w:t>
            </w:r>
          </w:p>
        </w:tc>
        <w:tc>
          <w:tcPr>
            <w:tcW w:w="94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732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应收金额小计（元）</w:t>
            </w:r>
          </w:p>
        </w:tc>
        <w:tc>
          <w:tcPr>
            <w:tcW w:w="1587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实收金额小计（元）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多层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高层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58228.74</w:t>
            </w:r>
          </w:p>
        </w:tc>
        <w:tc>
          <w:tcPr>
            <w:tcW w:w="945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1.4</w:t>
            </w:r>
          </w:p>
        </w:tc>
        <w:tc>
          <w:tcPr>
            <w:tcW w:w="1732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922880</w:t>
            </w:r>
          </w:p>
        </w:tc>
        <w:tc>
          <w:tcPr>
            <w:tcW w:w="1587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780077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别墅物业服务费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非住宅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5854.12</w:t>
            </w:r>
          </w:p>
        </w:tc>
        <w:tc>
          <w:tcPr>
            <w:tcW w:w="945" w:type="dxa"/>
          </w:tcPr>
          <w:p>
            <w:pPr>
              <w:pStyle w:val="6"/>
              <w:rPr>
                <w:rFonts w:hint="eastAsia" w:ascii="Times New Roman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5</w:t>
            </w:r>
          </w:p>
          <w:p>
            <w:pPr>
              <w:pStyle w:val="6"/>
              <w:rPr>
                <w:rFonts w:hint="eastAsia" w:ascii="Times New Roman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（按合同约定）</w:t>
            </w:r>
          </w:p>
        </w:tc>
        <w:tc>
          <w:tcPr>
            <w:tcW w:w="1732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105361</w:t>
            </w:r>
          </w:p>
        </w:tc>
        <w:tc>
          <w:tcPr>
            <w:tcW w:w="1587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102929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地下泊车服务费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地上泊车服务费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b/>
                <w:sz w:val="18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1028242</w:t>
            </w:r>
          </w:p>
        </w:tc>
        <w:tc>
          <w:tcPr>
            <w:tcW w:w="1587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883005</w:t>
            </w:r>
          </w:p>
        </w:tc>
      </w:tr>
    </w:tbl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二、物业服务费支出情况</w:t>
      </w:r>
    </w:p>
    <w:tbl>
      <w:tblPr>
        <w:tblStyle w:val="3"/>
        <w:tblW w:w="9426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1840"/>
        <w:gridCol w:w="1732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金额（元）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管理服务人员的工资、社会保险和福利费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587716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物业管理区域清洁卫生费用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74728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物业管理区域秩序维护费用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2114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办公费用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4073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物业服务企业固定资产折旧费用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法定税费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3621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物业共用部位、共用设施设备的日常运行、维护费用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227405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物业管理区域绿化养护费用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物业共用部位、共用设施设备及公众责任保险费用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管理费分摊（企业用于协调运作各管理项目的团队的费用）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76649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经业主同意的其它费用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物业服务企业的合理利润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-93301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1061720" cy="228600"/>
                      <wp:effectExtent l="1270" t="4445" r="3810" b="8255"/>
                      <wp:docPr id="42" name="组合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1720" cy="228600"/>
                                <a:chOff x="5" y="5"/>
                                <a:chExt cx="1672" cy="360"/>
                              </a:xfrm>
                            </wpg:grpSpPr>
                            <wps:wsp>
                              <wps:cNvPr id="41" name="直接连接符 41"/>
                              <wps:cNvCnPr/>
                              <wps:spPr>
                                <a:xfrm>
                                  <a:off x="5" y="5"/>
                                  <a:ext cx="1672" cy="36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8pt;width:83.6pt;" coordorigin="5,5" coordsize="1672,360" o:gfxdata="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9&#10;yUQs1QAAAAQBAAAPAAAAAAAAAAEAIAAAACIAAABkcnMvZG93bnJldi54bWxQSwECFAAUAAAACACH&#10;TuJAPvL6q2ACAAAQBQAADgAAAAAAAAABACAAAAAkAQAAZHJzL2Uyb0RvYy54bWxQSwUGAAAAAAYA&#10;BgBZAQAA9gUAAAAA&#10;">
                      <o:lock v:ext="edit" aspectratio="f"/>
                      <v:line id="_x0000_s1026" o:spid="_x0000_s1026" o:spt="20" style="position:absolute;left:5;top:5;height:360;width:1672;" filled="f" stroked="t" coordsize="21600,21600" o:gfxdata="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ZM0V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886005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936625" cy="268605"/>
                      <wp:effectExtent l="1270" t="4445" r="1905" b="6350"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6778" cy="268385"/>
                                <a:chOff x="5" y="5"/>
                                <a:chExt cx="1425" cy="369"/>
                              </a:xfrm>
                            </wpg:grpSpPr>
                            <wps:wsp>
                              <wps:cNvPr id="43" name="直接连接符 43"/>
                              <wps:cNvCnPr/>
                              <wps:spPr>
                                <a:xfrm>
                                  <a:off x="5" y="5"/>
                                  <a:ext cx="1425" cy="369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21.15pt;width:73.75pt;" coordorigin="5,5" coordsize="1425,369" o:gfxdata="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b1sK8&#10;1QAAAAQBAAAPAAAAAAAAAAEAIAAAACIAAABkcnMvZG93bnJldi54bWxQSwECFAAUAAAACACHTuJA&#10;CYJrfV0CAAANBQAADgAAAAAAAAABACAAAAAkAQAAZHJzL2Uyb0RvYy54bWxQSwUGAAAAAAYABgBZ&#10;AQAA8wUAAAAA&#10;">
                      <o:lock v:ext="edit" aspectratio="f"/>
                      <v:line id="_x0000_s1026" o:spid="_x0000_s1026" o:spt="20" style="position:absolute;left:5;top:5;height:369;width:1425;" filled="f" stroked="t" coordsize="21600,21600" o:gfxdata="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/r2+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公共收益收支情况公示模板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8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20</w:t>
      </w:r>
      <w:r>
        <w:rPr>
          <w:rFonts w:hint="eastAsia" w:hAnsi="宋体" w:cs="宋体" w:eastAsiaTheme="minorEastAsia"/>
          <w:kern w:val="2"/>
          <w:sz w:val="24"/>
          <w:szCs w:val="24"/>
          <w:lang w:val="en-US" w:eastAsia="zh-CN" w:bidi="ar-SA"/>
        </w:rPr>
        <w:t xml:space="preserve">23 年 1 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 xml:space="preserve">月-- </w:t>
      </w:r>
      <w:r>
        <w:rPr>
          <w:rFonts w:hint="eastAsia" w:hAnsi="宋体" w:cs="宋体" w:eastAsiaTheme="minorEastAsia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 xml:space="preserve"> 月                                            单位：</w:t>
      </w:r>
    </w:p>
    <w:tbl>
      <w:tblPr>
        <w:tblStyle w:val="4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3"/>
        <w:gridCol w:w="3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上期结存</w:t>
            </w:r>
          </w:p>
        </w:tc>
        <w:tc>
          <w:tcPr>
            <w:tcW w:w="6346" w:type="dxa"/>
            <w:gridSpan w:val="2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2423.32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519" w:type="dxa"/>
            <w:gridSpan w:val="3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本期收支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346" w:type="dxa"/>
            <w:gridSpan w:val="2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科目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本期发生额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3" w:type="dxa"/>
            <w:vMerge w:val="restart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本期收入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公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有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停车位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场地租赁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64.22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广告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传媒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2545.86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2610.08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173" w:type="dxa"/>
            <w:vMerge w:val="restart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本期支出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招商运营成本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场所设备维修、水电等成本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维修、更新改造、增设小区共用设施设备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开展业主公益活动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补充住宅专项维修资金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业主表决同意的其他用途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相关税费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2235.55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期末结余</w:t>
            </w:r>
          </w:p>
        </w:tc>
        <w:tc>
          <w:tcPr>
            <w:tcW w:w="6346" w:type="dxa"/>
            <w:gridSpan w:val="2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2797.85</w:t>
            </w:r>
            <w:bookmarkStart w:id="0" w:name="_GoBack"/>
            <w:bookmarkEnd w:id="0"/>
          </w:p>
        </w:tc>
      </w:tr>
    </w:tbl>
    <w:p/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住宅专项维修资金使用情况公示模板</w:t>
      </w:r>
    </w:p>
    <w:p>
      <w:pPr>
        <w:pStyle w:val="2"/>
        <w:spacing w:before="5"/>
        <w:rPr>
          <w:b/>
          <w:sz w:val="14"/>
        </w:rPr>
      </w:pPr>
    </w:p>
    <w:tbl>
      <w:tblPr>
        <w:tblStyle w:val="3"/>
        <w:tblW w:w="9569" w:type="dxa"/>
        <w:tblInd w:w="-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2373"/>
        <w:gridCol w:w="1728"/>
        <w:gridCol w:w="1359"/>
        <w:gridCol w:w="3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002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113" w:right="104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373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维修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1728" w:type="dxa"/>
          </w:tcPr>
          <w:p>
            <w:pPr>
              <w:pStyle w:val="6"/>
              <w:spacing w:before="40" w:line="324" w:lineRule="auto"/>
              <w:ind w:left="267" w:right="255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使用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金额</w:t>
            </w:r>
          </w:p>
          <w:p>
            <w:pPr>
              <w:pStyle w:val="6"/>
              <w:spacing w:before="2"/>
              <w:ind w:left="176" w:firstLine="240" w:firstLineChars="100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（元）</w:t>
            </w:r>
          </w:p>
        </w:tc>
        <w:tc>
          <w:tcPr>
            <w:tcW w:w="1359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111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分摊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范围</w:t>
            </w:r>
          </w:p>
        </w:tc>
        <w:tc>
          <w:tcPr>
            <w:tcW w:w="3107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80" w:right="69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表决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截止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2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8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73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107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譬如：1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#楼1单元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座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屋面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漏水</w:t>
            </w:r>
          </w:p>
        </w:tc>
        <w:tc>
          <w:tcPr>
            <w:tcW w:w="1728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246" w:right="236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XXXX</w:t>
            </w:r>
          </w:p>
        </w:tc>
        <w:tc>
          <w:tcPr>
            <w:tcW w:w="1359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178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#楼1单元</w:t>
            </w:r>
          </w:p>
        </w:tc>
        <w:tc>
          <w:tcPr>
            <w:tcW w:w="3107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80" w:right="71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年 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x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月 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x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2" w:type="dxa"/>
          </w:tcPr>
          <w:p>
            <w:pPr>
              <w:pStyle w:val="6"/>
              <w:spacing w:before="42"/>
              <w:ind w:left="113" w:right="104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2373" w:type="dxa"/>
          </w:tcPr>
          <w:p>
            <w:pPr>
              <w:pStyle w:val="6"/>
              <w:spacing w:before="42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728" w:type="dxa"/>
          </w:tcPr>
          <w:p>
            <w:pPr>
              <w:pStyle w:val="6"/>
              <w:spacing w:before="42"/>
              <w:ind w:left="246" w:right="237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359" w:type="dxa"/>
          </w:tcPr>
          <w:p>
            <w:pPr>
              <w:pStyle w:val="6"/>
              <w:spacing w:before="42"/>
              <w:ind w:left="291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3107" w:type="dxa"/>
          </w:tcPr>
          <w:p>
            <w:pPr>
              <w:pStyle w:val="6"/>
              <w:spacing w:before="42"/>
              <w:ind w:left="80" w:right="71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2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3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728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07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p/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ZTdjYTQxYmMxMWJiZDZjOTY4NzFkYWY5M2ZhOTkifQ=="/>
  </w:docVars>
  <w:rsids>
    <w:rsidRoot w:val="00172A27"/>
    <w:rsid w:val="01E03734"/>
    <w:rsid w:val="02362E1A"/>
    <w:rsid w:val="0C500A1D"/>
    <w:rsid w:val="10580063"/>
    <w:rsid w:val="14D273E1"/>
    <w:rsid w:val="17D849BD"/>
    <w:rsid w:val="1ADE6828"/>
    <w:rsid w:val="1DCB1AF9"/>
    <w:rsid w:val="25B81BCA"/>
    <w:rsid w:val="2CF23354"/>
    <w:rsid w:val="3DD822A8"/>
    <w:rsid w:val="42D065CA"/>
    <w:rsid w:val="46580ECB"/>
    <w:rsid w:val="48CA11A0"/>
    <w:rsid w:val="4A7B3214"/>
    <w:rsid w:val="4D684828"/>
    <w:rsid w:val="56F96E2C"/>
    <w:rsid w:val="59F837B7"/>
    <w:rsid w:val="5B46735F"/>
    <w:rsid w:val="5D7E5A65"/>
    <w:rsid w:val="61673576"/>
    <w:rsid w:val="662C243B"/>
    <w:rsid w:val="668B3026"/>
    <w:rsid w:val="6A7F16D6"/>
    <w:rsid w:val="6C216828"/>
    <w:rsid w:val="78F52422"/>
    <w:rsid w:val="7BE3597E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1655</Words>
  <Characters>1703</Characters>
  <Lines>0</Lines>
  <Paragraphs>0</Paragraphs>
  <TotalTime>5</TotalTime>
  <ScaleCrop>false</ScaleCrop>
  <LinksUpToDate>false</LinksUpToDate>
  <CharactersWithSpaces>1770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Sing</dc:creator>
  <cp:lastModifiedBy>袁晓敏</cp:lastModifiedBy>
  <dcterms:modified xsi:type="dcterms:W3CDTF">2023-11-24T08:41:44Z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CB08D9936531423E98538B237950082F</vt:lpwstr>
  </property>
</Properties>
</file>